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2130"/>
        <w:gridCol w:w="7498"/>
      </w:tblGrid>
      <w:tr w:rsidR="00080647" w14:paraId="6C3992EC" w14:textId="77777777" w:rsidTr="00262E0C">
        <w:trPr>
          <w:trHeight w:val="1325"/>
        </w:trPr>
        <w:tc>
          <w:tcPr>
            <w:tcW w:w="2130" w:type="dxa"/>
          </w:tcPr>
          <w:p w14:paraId="0C1861E9" w14:textId="77777777" w:rsidR="00080647" w:rsidRPr="008A7C3B" w:rsidRDefault="00080647" w:rsidP="00262E0C">
            <w:pPr>
              <w:jc w:val="both"/>
            </w:pPr>
            <w:bookmarkStart w:id="0" w:name="_Hlk183016934"/>
            <w:bookmarkStart w:id="1" w:name="_GoBack"/>
            <w:bookmarkEnd w:id="1"/>
            <w:r w:rsidRPr="008A7C3B">
              <w:t>TARGET</w:t>
            </w:r>
          </w:p>
        </w:tc>
        <w:tc>
          <w:tcPr>
            <w:tcW w:w="7498" w:type="dxa"/>
          </w:tcPr>
          <w:p w14:paraId="1E70E623" w14:textId="2509FC26" w:rsidR="00080647" w:rsidRDefault="0082791E" w:rsidP="00262E0C">
            <w:pPr>
              <w:jc w:val="both"/>
            </w:pPr>
            <w:r>
              <w:t>Comunità? (perché non coinvolgere le parrocchie o altre realtà per trovare luoghi inediti?).</w:t>
            </w:r>
          </w:p>
        </w:tc>
      </w:tr>
      <w:tr w:rsidR="00080647" w14:paraId="0C5C5754" w14:textId="77777777" w:rsidTr="00A03C26">
        <w:trPr>
          <w:trHeight w:val="925"/>
        </w:trPr>
        <w:tc>
          <w:tcPr>
            <w:tcW w:w="2130" w:type="dxa"/>
          </w:tcPr>
          <w:p w14:paraId="77C64923" w14:textId="77777777" w:rsidR="00080647" w:rsidRPr="008A7C3B" w:rsidRDefault="00080647" w:rsidP="00262E0C">
            <w:pPr>
              <w:jc w:val="both"/>
            </w:pPr>
            <w:r w:rsidRPr="008A7C3B">
              <w:t>OBIETTIVI</w:t>
            </w:r>
          </w:p>
        </w:tc>
        <w:tc>
          <w:tcPr>
            <w:tcW w:w="7498" w:type="dxa"/>
          </w:tcPr>
          <w:p w14:paraId="0CF0C904" w14:textId="457EE1AD" w:rsidR="00080647" w:rsidRDefault="0082791E" w:rsidP="00262E0C">
            <w:pPr>
              <w:jc w:val="both"/>
            </w:pPr>
            <w:r>
              <w:t>Quali obiettivi affinchè i luoghi della comunità possano diventare accoglienza socio-lavorativa per le persone fragili?</w:t>
            </w:r>
          </w:p>
        </w:tc>
      </w:tr>
      <w:tr w:rsidR="00080647" w14:paraId="509D53D9" w14:textId="77777777" w:rsidTr="00A03C26">
        <w:trPr>
          <w:trHeight w:val="779"/>
        </w:trPr>
        <w:tc>
          <w:tcPr>
            <w:tcW w:w="2130" w:type="dxa"/>
          </w:tcPr>
          <w:p w14:paraId="4D8EDFD2" w14:textId="77777777" w:rsidR="00080647" w:rsidRPr="008A7C3B" w:rsidRDefault="00080647" w:rsidP="00262E0C">
            <w:pPr>
              <w:jc w:val="both"/>
            </w:pPr>
            <w:r w:rsidRPr="008A7C3B">
              <w:t>AZIONI</w:t>
            </w:r>
          </w:p>
        </w:tc>
        <w:tc>
          <w:tcPr>
            <w:tcW w:w="7498" w:type="dxa"/>
          </w:tcPr>
          <w:p w14:paraId="7D2D5EDE" w14:textId="77777777" w:rsidR="00080647" w:rsidRDefault="00080647" w:rsidP="00262E0C">
            <w:pPr>
              <w:jc w:val="both"/>
            </w:pPr>
          </w:p>
        </w:tc>
      </w:tr>
      <w:tr w:rsidR="00080647" w14:paraId="39E4739C" w14:textId="77777777" w:rsidTr="00A03C26">
        <w:trPr>
          <w:trHeight w:val="1615"/>
        </w:trPr>
        <w:tc>
          <w:tcPr>
            <w:tcW w:w="2130" w:type="dxa"/>
          </w:tcPr>
          <w:p w14:paraId="3EA68692" w14:textId="77777777" w:rsidR="00080647" w:rsidRPr="008A7C3B" w:rsidRDefault="00080647" w:rsidP="00262E0C">
            <w:pPr>
              <w:jc w:val="both"/>
            </w:pPr>
            <w:r w:rsidRPr="008A7C3B">
              <w:t>LUOGHI</w:t>
            </w:r>
          </w:p>
        </w:tc>
        <w:tc>
          <w:tcPr>
            <w:tcW w:w="7498" w:type="dxa"/>
          </w:tcPr>
          <w:p w14:paraId="7FAEAF71" w14:textId="77777777" w:rsidR="00080647" w:rsidRDefault="00FE10DD" w:rsidP="00262E0C">
            <w:pPr>
              <w:jc w:val="both"/>
            </w:pPr>
            <w:r>
              <w:t>Non tanto luoghi fisici, ma luoghi in cui il servizio si rende evidente all’interno delle città in cui il servizio opera. Anche per restituire visibilità a persone che si portano a dietro stigmi sociali.</w:t>
            </w:r>
          </w:p>
          <w:p w14:paraId="59CCA1D2" w14:textId="77777777" w:rsidR="00DA5ACF" w:rsidRDefault="00DA5ACF" w:rsidP="00262E0C">
            <w:pPr>
              <w:jc w:val="both"/>
            </w:pPr>
            <w:r>
              <w:t>Spazio pubblico.</w:t>
            </w:r>
          </w:p>
          <w:p w14:paraId="1585679B" w14:textId="71A295CF" w:rsidR="0082791E" w:rsidRDefault="0082791E" w:rsidP="00262E0C">
            <w:pPr>
              <w:jc w:val="both"/>
            </w:pPr>
            <w:r>
              <w:t>Le nostre comunità</w:t>
            </w:r>
          </w:p>
        </w:tc>
      </w:tr>
      <w:bookmarkEnd w:id="0"/>
    </w:tbl>
    <w:p w14:paraId="1363281F" w14:textId="77777777" w:rsidR="00080647" w:rsidRDefault="00080647" w:rsidP="00080647">
      <w:pPr>
        <w:pStyle w:val="Paragrafoelenco"/>
        <w:jc w:val="both"/>
      </w:pPr>
    </w:p>
    <w:p w14:paraId="01E60BEC" w14:textId="77777777" w:rsidR="0082791E" w:rsidRDefault="0082791E" w:rsidP="00022CC8">
      <w:pPr>
        <w:pStyle w:val="Paragrafoelenco"/>
        <w:jc w:val="both"/>
      </w:pPr>
    </w:p>
    <w:p w14:paraId="3A41392D" w14:textId="1BAD05B8" w:rsidR="00FE10DD" w:rsidRDefault="00DA5ACF" w:rsidP="0090272D">
      <w:pPr>
        <w:jc w:val="both"/>
      </w:pPr>
      <w:r>
        <w:t xml:space="preserve">Mestieri: </w:t>
      </w:r>
    </w:p>
    <w:p w14:paraId="461B2FF4" w14:textId="4A0AB43A" w:rsidR="00FE10DD" w:rsidRDefault="00FE10DD" w:rsidP="0090272D">
      <w:pPr>
        <w:jc w:val="both"/>
      </w:pPr>
      <w:r>
        <w:t>Tema del progetto individuale che identifica una corresponsabilità e delle azioni che investono anche altre azioni del territorio (comune e soggetti del terzo settore). Modello che richiama una governance tra pubblico e privato. Tema di governance e di strumenti che si legano al progetto individuale.</w:t>
      </w:r>
    </w:p>
    <w:p w14:paraId="17B0FECC" w14:textId="3867C020" w:rsidR="00FE10DD" w:rsidRDefault="00FE10DD" w:rsidP="0090272D">
      <w:pPr>
        <w:jc w:val="both"/>
      </w:pPr>
      <w:r>
        <w:t>Finalità: attività che ritornano ai territori e alla comunità stessa.</w:t>
      </w:r>
    </w:p>
    <w:p w14:paraId="7F42677C" w14:textId="13AFFECE" w:rsidR="00FE10DD" w:rsidRDefault="00FE10DD" w:rsidP="0090272D">
      <w:pPr>
        <w:jc w:val="both"/>
      </w:pPr>
      <w:r>
        <w:t>Tema dell’ingaggio con l’utente importante per contribuire a restituire qualcosa alla comunità che ti</w:t>
      </w:r>
      <w:r w:rsidR="0090272D">
        <w:t xml:space="preserve"> </w:t>
      </w:r>
      <w:r>
        <w:t>sostiene rispetto alla tua situazione di indigenza. Pattuizione e ritorno come elementi centrali.</w:t>
      </w:r>
    </w:p>
    <w:p w14:paraId="30B4C3AC" w14:textId="47C43FF6" w:rsidR="00DA5ACF" w:rsidRDefault="00DA5ACF" w:rsidP="0090272D">
      <w:pPr>
        <w:jc w:val="both"/>
      </w:pPr>
      <w:r>
        <w:t>Legame con la cittadinanza.</w:t>
      </w:r>
    </w:p>
    <w:p w14:paraId="33CC3D60" w14:textId="3C1B149C" w:rsidR="00FE10DD" w:rsidRDefault="00FE10DD" w:rsidP="0090272D">
      <w:pPr>
        <w:jc w:val="both"/>
      </w:pPr>
      <w:r>
        <w:t>Dimensione comunitaria come centrale.</w:t>
      </w:r>
      <w:r w:rsidR="00DA5ACF">
        <w:t xml:space="preserve"> Tornare sui luoghi (progetti che si costruiscono intorno a luoghi insoliti.) Tema dei luoghi insoliti all’interno dei quali costruire nuovi significati per le persone che sono in percorso. Tema di responsabilità legato alla cura dei luoghi.</w:t>
      </w:r>
    </w:p>
    <w:p w14:paraId="2A8D1304" w14:textId="3BEF433B" w:rsidR="00FE10DD" w:rsidRDefault="00FE10DD" w:rsidP="0090272D">
      <w:pPr>
        <w:jc w:val="both"/>
      </w:pPr>
      <w:r>
        <w:t>Poli socio-occupazionali che prende in esame altri progetti di ambito che non sono nati con la stessa formulazione, non titolarità del servizio pubblico. Ma una presa di responsabilità del soggetto del terzo settore.</w:t>
      </w:r>
    </w:p>
    <w:p w14:paraId="64F2F983" w14:textId="4C118C14" w:rsidR="00FE10DD" w:rsidRDefault="00DA5ACF" w:rsidP="0090272D">
      <w:pPr>
        <w:jc w:val="both"/>
      </w:pPr>
      <w:r>
        <w:t>Cantonieri di comunità. Tema della cura e dello spazio pubblico che si connette all’inclusione e a una dimensione di vita comunitaria.</w:t>
      </w:r>
    </w:p>
    <w:p w14:paraId="03B75F1D" w14:textId="77A857B3" w:rsidR="00DA5ACF" w:rsidRDefault="00DA5ACF" w:rsidP="0090272D">
      <w:pPr>
        <w:jc w:val="both"/>
      </w:pPr>
      <w:r>
        <w:t>Tema di un accompagnamento che è lungo e deve essere lungo l’accompagnamento dei servizi. Di fatto non è un lavoro. Non si parla di autonomia della persona.</w:t>
      </w:r>
    </w:p>
    <w:p w14:paraId="42F5E056" w14:textId="00956B7A" w:rsidR="00DA5ACF" w:rsidRDefault="00DA5ACF" w:rsidP="0090272D">
      <w:pPr>
        <w:jc w:val="both"/>
      </w:pPr>
      <w:r>
        <w:t xml:space="preserve">Certificazione sociale: “responsabilità sociale delle aziende”. Mondo del lavoro che potesse accogliere persone un po’ più fragili nei percorsi lavorativi, perché non qualificare la tipologia di </w:t>
      </w:r>
      <w:r>
        <w:lastRenderedPageBreak/>
        <w:t>offerta? Perché non valorizzarle nel mercato del lavoro? Aziende che sposa progetti socio-occupazionali o sociali che affianchi le persone in percorsi un po’ più lunghi.</w:t>
      </w:r>
    </w:p>
    <w:p w14:paraId="78664797" w14:textId="3CD85756" w:rsidR="00DA5ACF" w:rsidRDefault="00DA5ACF" w:rsidP="0090272D">
      <w:pPr>
        <w:jc w:val="both"/>
      </w:pPr>
      <w:r>
        <w:t>Tema di governance come centrale.</w:t>
      </w:r>
    </w:p>
    <w:p w14:paraId="529B4BF1" w14:textId="2ABD4441" w:rsidR="00DA5ACF" w:rsidRDefault="00DA5ACF" w:rsidP="00DA5ACF">
      <w:pPr>
        <w:pStyle w:val="Paragrafoelenco"/>
        <w:jc w:val="both"/>
      </w:pPr>
    </w:p>
    <w:p w14:paraId="39F03413" w14:textId="57C13703" w:rsidR="00DA5ACF" w:rsidRDefault="00DA5ACF" w:rsidP="0090272D">
      <w:pPr>
        <w:jc w:val="both"/>
      </w:pPr>
      <w:r>
        <w:t>Monica Mosca: mettere sempre più a fuoco la figura di un “tutor sociale”, di una persona che possa accompagnare i profili più fragili, con competenze di supporto alla persona e all’impresa.</w:t>
      </w:r>
    </w:p>
    <w:p w14:paraId="5D418914" w14:textId="77777777" w:rsidR="0090272D" w:rsidRDefault="0090272D" w:rsidP="0090272D">
      <w:pPr>
        <w:jc w:val="both"/>
      </w:pPr>
    </w:p>
    <w:p w14:paraId="012E5E03" w14:textId="3634ACF1" w:rsidR="00DA5ACF" w:rsidRDefault="00DA5ACF" w:rsidP="0090272D">
      <w:pPr>
        <w:jc w:val="both"/>
      </w:pPr>
      <w:r>
        <w:t xml:space="preserve">Caritas: ci si occupa di persone che vengono al centro di ascolto di caritas con un bisogno di aiuto nella ricerca del lavoro, nel rientro del sistema occupazionale. </w:t>
      </w:r>
      <w:r w:rsidR="0090272D">
        <w:t>Lavoro con i servizi. Risorse di Fondazione San Carlo che opera nella diocesi di Milano.</w:t>
      </w:r>
    </w:p>
    <w:p w14:paraId="637ADDEE" w14:textId="1162472A" w:rsidR="0090272D" w:rsidRDefault="0090272D" w:rsidP="0090272D">
      <w:pPr>
        <w:jc w:val="both"/>
      </w:pPr>
      <w:r>
        <w:t>Chiedo di essere tenuto presente per un lavoro di rete. Per aiutare le persone può essere che alcune persone vengano inserite in cesea o in altri percorsi di ambito.</w:t>
      </w:r>
    </w:p>
    <w:p w14:paraId="0250C28B" w14:textId="77777777" w:rsidR="0090272D" w:rsidRDefault="0090272D" w:rsidP="00022CC8">
      <w:pPr>
        <w:pStyle w:val="Paragrafoelenco"/>
        <w:jc w:val="both"/>
      </w:pPr>
    </w:p>
    <w:p w14:paraId="78C6DAD0" w14:textId="1E9F8FE6" w:rsidR="0090272D" w:rsidRDefault="0090272D" w:rsidP="0090272D">
      <w:pPr>
        <w:jc w:val="both"/>
      </w:pPr>
      <w:r>
        <w:t>Matteo Rossi: esperienza nella biodiversità che caratterizza ogni esperienza. Cascina Rapello dove si sta cercando di rigenerare un luogo nella consapevolezza che prendersi cura di un luogo significa prendersi cura anche di noi. Sviluppo di un progetto nel socio-occupazionale. Dimensione della natura e della comunità come centrali nel progetto. Sentirsi parte di una comunità, apertura di uno spazio di partecipazione. Percorsi di rigenerazione dove prendersi cura dei luoghi, del sé e degli altri.</w:t>
      </w:r>
    </w:p>
    <w:p w14:paraId="6A6031BC" w14:textId="40E45ECE" w:rsidR="0090272D" w:rsidRDefault="0090272D" w:rsidP="0090272D">
      <w:pPr>
        <w:jc w:val="both"/>
      </w:pPr>
    </w:p>
    <w:p w14:paraId="1415DFBA" w14:textId="11824B95" w:rsidR="0082791E" w:rsidRDefault="0082791E" w:rsidP="0090272D">
      <w:pPr>
        <w:jc w:val="both"/>
      </w:pPr>
      <w:r>
        <w:t>Quali azioni concrete da mettere in campo per il raggiungimento di una società lavorativamente inclusiva?</w:t>
      </w:r>
    </w:p>
    <w:p w14:paraId="4E9A5C2F" w14:textId="0B1AF721" w:rsidR="0082791E" w:rsidRDefault="0082791E" w:rsidP="0090272D">
      <w:pPr>
        <w:jc w:val="both"/>
      </w:pPr>
      <w:r>
        <w:t>Aspetto comunitario e funzione pubblica. Realizzare di interventi per persone più fragili che sono invisibili.</w:t>
      </w:r>
    </w:p>
    <w:p w14:paraId="24875EBE" w14:textId="77777777" w:rsidR="0082791E" w:rsidRDefault="0082791E" w:rsidP="0090272D">
      <w:pPr>
        <w:jc w:val="both"/>
      </w:pPr>
    </w:p>
    <w:p w14:paraId="11B9819B" w14:textId="49B8D3E8" w:rsidR="0090272D" w:rsidRDefault="0082791E" w:rsidP="0090272D">
      <w:pPr>
        <w:jc w:val="both"/>
      </w:pPr>
      <w:r>
        <w:t>Caritas: progetto fondo di solidarietà per il lavoro. Coinvolgimento da parte dell’istituzione e del comune e altre realtà che consentiva di avviare al lavoro con contratti di lavoro. Provare a rimettere a fuoco questo tipo di progetto? Rivedere il concetto di fondo della partecipazione di tutti ad attività lavorative. Trasformare in opportunità lavorative dei bisogni.</w:t>
      </w:r>
    </w:p>
    <w:p w14:paraId="52A638E9" w14:textId="4DE21404" w:rsidR="0082791E" w:rsidRDefault="0082791E" w:rsidP="0090272D">
      <w:pPr>
        <w:jc w:val="both"/>
      </w:pPr>
    </w:p>
    <w:p w14:paraId="7526C154" w14:textId="17326B81" w:rsidR="0082791E" w:rsidRDefault="0082791E" w:rsidP="0090272D">
      <w:pPr>
        <w:jc w:val="both"/>
      </w:pPr>
      <w:r>
        <w:t xml:space="preserve">Eugenio: difficile definire gli obiettivi e le azioni per implementare il lavoro dell’inserimento lavorativo e dell’inclusione. Tema della capacità delle attività e dei servizi di essere capillare sul territorio. Questo </w:t>
      </w:r>
      <w:r w:rsidR="00F53F1F">
        <w:t xml:space="preserve">“modello cesea” da replicare e sviluppare. Quali sono i target? Persone particolarmente vulnerabili e fragili dove Cesea è una risposta ma non può essere l’unica: sviluppare anche lo sviluppo di impresa. Modelli di impresa strutturati e rafforzati. Percorsi temporanei o di lungo periodo per dare risposte a chi ha bisogno di lavoro. Obiettivo di individuare forme di business </w:t>
      </w:r>
      <w:r w:rsidR="00F53F1F">
        <w:lastRenderedPageBreak/>
        <w:t>che permettano non di lavorare su singoli progetti, ma anche attività che possano dare più ampio respiro e delle risposte più continuative e con più respiro temporale.</w:t>
      </w:r>
    </w:p>
    <w:p w14:paraId="04530085" w14:textId="4565FC81" w:rsidR="00F53F1F" w:rsidRDefault="00F53F1F" w:rsidP="0090272D">
      <w:pPr>
        <w:jc w:val="both"/>
      </w:pPr>
    </w:p>
    <w:p w14:paraId="7494B9A7" w14:textId="26B0F597" w:rsidR="00F53F1F" w:rsidRDefault="00F53F1F" w:rsidP="0090272D">
      <w:pPr>
        <w:jc w:val="both"/>
      </w:pPr>
      <w:r>
        <w:t>Due linee: modello cesea da una parte e lavoro sulle imprese dove anche i luoghi inediti vanno coinvolti. Due linee che devono dialogare e avere dall’altra parte le proprie specificità.</w:t>
      </w:r>
    </w:p>
    <w:p w14:paraId="6DCA70C1" w14:textId="3C15055F" w:rsidR="00F53F1F" w:rsidRDefault="00F53F1F" w:rsidP="0090272D">
      <w:pPr>
        <w:jc w:val="both"/>
      </w:pPr>
      <w:r>
        <w:t>Officina Badoni: l’idea è che l’attività possa funzionare e camminare sulle proprie gambe per poter essere un nuovo contesto di inserimenti lavorativi.</w:t>
      </w:r>
    </w:p>
    <w:p w14:paraId="0D7BCEB4" w14:textId="05006CFD" w:rsidR="00F53F1F" w:rsidRDefault="00F53F1F" w:rsidP="0090272D">
      <w:pPr>
        <w:jc w:val="both"/>
      </w:pPr>
      <w:r>
        <w:t>Ambito come luogo di invenzione di nuove collaborazioni di impresa con più ampio respiro.</w:t>
      </w:r>
    </w:p>
    <w:p w14:paraId="7C61E5D2" w14:textId="401F9A5E" w:rsidR="00F53F1F" w:rsidRDefault="00F53F1F" w:rsidP="0090272D">
      <w:pPr>
        <w:jc w:val="both"/>
      </w:pPr>
      <w:r>
        <w:t>La creatività e la capacità di fare impresa devono essere fondamentali. Non c’è stato uno scatto di impresa dalle cooperative di tipo b, importante intensificare le connessioni con il pubblico. Provare l’ambito ad essere da volano con risorse pubbliche a disposizione di nuove necessità per promuovere l’attivazione di un percorso di lungo periodo</w:t>
      </w:r>
    </w:p>
    <w:p w14:paraId="19394A5C" w14:textId="7684630E" w:rsidR="00F53F1F" w:rsidRDefault="00F53F1F" w:rsidP="0090272D">
      <w:pPr>
        <w:jc w:val="both"/>
      </w:pPr>
    </w:p>
    <w:p w14:paraId="4FD8F7A3" w14:textId="77777777" w:rsidR="00A03C26" w:rsidRDefault="00A03C26" w:rsidP="0090272D">
      <w:pPr>
        <w:jc w:val="both"/>
      </w:pPr>
    </w:p>
    <w:tbl>
      <w:tblPr>
        <w:tblStyle w:val="Grigliatabella"/>
        <w:tblW w:w="0" w:type="auto"/>
        <w:tblLook w:val="04A0" w:firstRow="1" w:lastRow="0" w:firstColumn="1" w:lastColumn="0" w:noHBand="0" w:noVBand="1"/>
      </w:tblPr>
      <w:tblGrid>
        <w:gridCol w:w="2130"/>
        <w:gridCol w:w="7498"/>
      </w:tblGrid>
      <w:tr w:rsidR="00F53F1F" w14:paraId="6A3463D2" w14:textId="77777777" w:rsidTr="00353665">
        <w:trPr>
          <w:trHeight w:val="1325"/>
        </w:trPr>
        <w:tc>
          <w:tcPr>
            <w:tcW w:w="2130" w:type="dxa"/>
          </w:tcPr>
          <w:p w14:paraId="39B16941" w14:textId="77777777" w:rsidR="00F53F1F" w:rsidRPr="008A7C3B" w:rsidRDefault="00F53F1F" w:rsidP="00353665">
            <w:pPr>
              <w:jc w:val="both"/>
            </w:pPr>
            <w:r w:rsidRPr="008A7C3B">
              <w:t>TARGET</w:t>
            </w:r>
          </w:p>
        </w:tc>
        <w:tc>
          <w:tcPr>
            <w:tcW w:w="7498" w:type="dxa"/>
          </w:tcPr>
          <w:p w14:paraId="296631A0" w14:textId="77777777" w:rsidR="00F53F1F" w:rsidRDefault="00F53F1F" w:rsidP="00353665">
            <w:pPr>
              <w:jc w:val="both"/>
            </w:pPr>
            <w:r>
              <w:t>Soggetti vulnerabili</w:t>
            </w:r>
          </w:p>
          <w:p w14:paraId="661FBA21" w14:textId="514399C9" w:rsidR="00F53F1F" w:rsidRDefault="00F53F1F" w:rsidP="00353665">
            <w:pPr>
              <w:jc w:val="both"/>
            </w:pPr>
            <w:r>
              <w:t xml:space="preserve">Comunità </w:t>
            </w:r>
          </w:p>
        </w:tc>
      </w:tr>
      <w:tr w:rsidR="00F53F1F" w14:paraId="2015C10A" w14:textId="77777777" w:rsidTr="00353665">
        <w:trPr>
          <w:trHeight w:val="1697"/>
        </w:trPr>
        <w:tc>
          <w:tcPr>
            <w:tcW w:w="2130" w:type="dxa"/>
          </w:tcPr>
          <w:p w14:paraId="76E65557" w14:textId="77777777" w:rsidR="00F53F1F" w:rsidRPr="008A7C3B" w:rsidRDefault="00F53F1F" w:rsidP="00353665">
            <w:pPr>
              <w:jc w:val="both"/>
            </w:pPr>
            <w:r w:rsidRPr="008A7C3B">
              <w:t>OBIETTIVI</w:t>
            </w:r>
          </w:p>
        </w:tc>
        <w:tc>
          <w:tcPr>
            <w:tcW w:w="7498" w:type="dxa"/>
          </w:tcPr>
          <w:p w14:paraId="3FE6C397" w14:textId="4CB4FAB6" w:rsidR="00F53F1F" w:rsidRDefault="00973765" w:rsidP="00353665">
            <w:pPr>
              <w:jc w:val="both"/>
            </w:pPr>
            <w:r>
              <w:t>diffusione modello socio-occupazionale</w:t>
            </w:r>
          </w:p>
          <w:p w14:paraId="3CD76522" w14:textId="4917A08A" w:rsidR="00973765" w:rsidRDefault="00973765" w:rsidP="00353665">
            <w:pPr>
              <w:jc w:val="both"/>
            </w:pPr>
            <w:r>
              <w:t>sostenibilità dei progetti (dare continuità e tempi più dilatati di lavoro)</w:t>
            </w:r>
          </w:p>
          <w:p w14:paraId="0FBDECAF" w14:textId="77777777" w:rsidR="00973765" w:rsidRDefault="00973765" w:rsidP="00353665">
            <w:pPr>
              <w:jc w:val="both"/>
            </w:pPr>
            <w:r>
              <w:t>coinvolgimento di imprese</w:t>
            </w:r>
          </w:p>
          <w:p w14:paraId="7D64D394" w14:textId="7296D246" w:rsidR="00973765" w:rsidRDefault="00973765" w:rsidP="00353665">
            <w:pPr>
              <w:jc w:val="both"/>
            </w:pPr>
            <w:r>
              <w:t xml:space="preserve">individuazione di una governance </w:t>
            </w:r>
          </w:p>
        </w:tc>
      </w:tr>
      <w:tr w:rsidR="00F53F1F" w14:paraId="2E5F3866" w14:textId="77777777" w:rsidTr="00973765">
        <w:trPr>
          <w:trHeight w:val="1204"/>
        </w:trPr>
        <w:tc>
          <w:tcPr>
            <w:tcW w:w="2130" w:type="dxa"/>
          </w:tcPr>
          <w:p w14:paraId="7D9B623D" w14:textId="77777777" w:rsidR="00F53F1F" w:rsidRPr="008A7C3B" w:rsidRDefault="00F53F1F" w:rsidP="00353665">
            <w:pPr>
              <w:jc w:val="both"/>
            </w:pPr>
            <w:r w:rsidRPr="008A7C3B">
              <w:t>AZIONI</w:t>
            </w:r>
          </w:p>
        </w:tc>
        <w:tc>
          <w:tcPr>
            <w:tcW w:w="7498" w:type="dxa"/>
          </w:tcPr>
          <w:p w14:paraId="44E1D968" w14:textId="77777777" w:rsidR="00F53F1F" w:rsidRDefault="00973765" w:rsidP="00353665">
            <w:pPr>
              <w:jc w:val="both"/>
            </w:pPr>
            <w:r>
              <w:t>Creatività di nuovi progetti in luoghi inediti</w:t>
            </w:r>
          </w:p>
          <w:p w14:paraId="74B4E476" w14:textId="77777777" w:rsidR="00973765" w:rsidRDefault="00973765" w:rsidP="00353665">
            <w:pPr>
              <w:jc w:val="both"/>
            </w:pPr>
            <w:r>
              <w:t>Formule di progetti mix (terzo settore che realizza attività di impresa)</w:t>
            </w:r>
          </w:p>
          <w:p w14:paraId="4D14B48C" w14:textId="524679A1" w:rsidR="00973765" w:rsidRDefault="00973765" w:rsidP="00353665">
            <w:pPr>
              <w:jc w:val="both"/>
            </w:pPr>
          </w:p>
        </w:tc>
      </w:tr>
      <w:tr w:rsidR="00F53F1F" w14:paraId="1437DB19" w14:textId="77777777" w:rsidTr="00973765">
        <w:trPr>
          <w:trHeight w:val="1686"/>
        </w:trPr>
        <w:tc>
          <w:tcPr>
            <w:tcW w:w="2130" w:type="dxa"/>
          </w:tcPr>
          <w:p w14:paraId="16037D38" w14:textId="77777777" w:rsidR="00F53F1F" w:rsidRPr="008A7C3B" w:rsidRDefault="00F53F1F" w:rsidP="00353665">
            <w:pPr>
              <w:jc w:val="both"/>
            </w:pPr>
            <w:r w:rsidRPr="008A7C3B">
              <w:t>LUOGHI</w:t>
            </w:r>
          </w:p>
        </w:tc>
        <w:tc>
          <w:tcPr>
            <w:tcW w:w="7498" w:type="dxa"/>
          </w:tcPr>
          <w:p w14:paraId="535A8B46" w14:textId="77777777" w:rsidR="00F53F1F" w:rsidRDefault="00F53F1F" w:rsidP="00353665">
            <w:pPr>
              <w:jc w:val="both"/>
            </w:pPr>
            <w:r>
              <w:t>Comunità</w:t>
            </w:r>
          </w:p>
          <w:p w14:paraId="693E405B" w14:textId="4F135E58" w:rsidR="00973765" w:rsidRDefault="00973765" w:rsidP="00353665">
            <w:pPr>
              <w:jc w:val="both"/>
            </w:pPr>
            <w:r>
              <w:t>Luoghi inediti</w:t>
            </w:r>
          </w:p>
        </w:tc>
      </w:tr>
    </w:tbl>
    <w:p w14:paraId="363A3C88" w14:textId="73310299" w:rsidR="00F53F1F" w:rsidRDefault="00F53F1F" w:rsidP="0090272D">
      <w:pPr>
        <w:jc w:val="both"/>
      </w:pPr>
    </w:p>
    <w:p w14:paraId="3A3D9594" w14:textId="67A01B1E" w:rsidR="00F53F1F" w:rsidRDefault="00F53F1F" w:rsidP="0090272D">
      <w:pPr>
        <w:jc w:val="both"/>
      </w:pPr>
    </w:p>
    <w:p w14:paraId="043D2B43" w14:textId="77777777" w:rsidR="00F53F1F" w:rsidRDefault="00F53F1F" w:rsidP="0090272D">
      <w:pPr>
        <w:jc w:val="both"/>
      </w:pPr>
    </w:p>
    <w:sectPr w:rsidR="00F53F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0B6C"/>
    <w:multiLevelType w:val="hybridMultilevel"/>
    <w:tmpl w:val="A33CC20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8D09E2"/>
    <w:multiLevelType w:val="hybridMultilevel"/>
    <w:tmpl w:val="A33CC20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CC111FD"/>
    <w:multiLevelType w:val="hybridMultilevel"/>
    <w:tmpl w:val="3EC6A076"/>
    <w:lvl w:ilvl="0" w:tplc="4F365374">
      <w:numFmt w:val="bullet"/>
      <w:lvlText w:val="-"/>
      <w:lvlJc w:val="left"/>
      <w:pPr>
        <w:ind w:left="644" w:hanging="360"/>
      </w:pPr>
      <w:rPr>
        <w:rFonts w:ascii="Aptos" w:eastAsiaTheme="minorHAnsi" w:hAnsi="Aptos"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AD7941"/>
    <w:multiLevelType w:val="hybridMultilevel"/>
    <w:tmpl w:val="E4286F92"/>
    <w:lvl w:ilvl="0" w:tplc="4F365374">
      <w:numFmt w:val="bullet"/>
      <w:lvlText w:val="-"/>
      <w:lvlJc w:val="left"/>
      <w:pPr>
        <w:ind w:left="1080" w:hanging="360"/>
      </w:pPr>
      <w:rPr>
        <w:rFonts w:ascii="Aptos" w:eastAsiaTheme="minorHAnsi" w:hAnsi="Aptos" w:cstheme="minorBidi"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6891600D"/>
    <w:multiLevelType w:val="hybridMultilevel"/>
    <w:tmpl w:val="90D26BC4"/>
    <w:lvl w:ilvl="0" w:tplc="FFFFFFFF">
      <w:start w:val="1"/>
      <w:numFmt w:val="decimal"/>
      <w:lvlText w:val="%1."/>
      <w:lvlJc w:val="left"/>
      <w:pPr>
        <w:ind w:left="720" w:hanging="360"/>
      </w:pPr>
      <w:rPr>
        <w:rFonts w:hint="default"/>
      </w:rPr>
    </w:lvl>
    <w:lvl w:ilvl="1" w:tplc="C0A06672">
      <w:start w:val="1"/>
      <w:numFmt w:val="lowerLetter"/>
      <w:lvlText w:val="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D1"/>
    <w:rsid w:val="00022CC8"/>
    <w:rsid w:val="00080647"/>
    <w:rsid w:val="00131AB5"/>
    <w:rsid w:val="00170F69"/>
    <w:rsid w:val="00177567"/>
    <w:rsid w:val="00570760"/>
    <w:rsid w:val="005739D1"/>
    <w:rsid w:val="006726D5"/>
    <w:rsid w:val="006E586C"/>
    <w:rsid w:val="00764CB1"/>
    <w:rsid w:val="0082791E"/>
    <w:rsid w:val="0090272D"/>
    <w:rsid w:val="00911A09"/>
    <w:rsid w:val="0093612D"/>
    <w:rsid w:val="00973765"/>
    <w:rsid w:val="00A03C26"/>
    <w:rsid w:val="00A919F2"/>
    <w:rsid w:val="00D45EDE"/>
    <w:rsid w:val="00D64C67"/>
    <w:rsid w:val="00D6781F"/>
    <w:rsid w:val="00DA5ACF"/>
    <w:rsid w:val="00E639DA"/>
    <w:rsid w:val="00EC0A75"/>
    <w:rsid w:val="00EE227F"/>
    <w:rsid w:val="00F53F1F"/>
    <w:rsid w:val="00FE1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1F6A"/>
  <w15:chartTrackingRefBased/>
  <w15:docId w15:val="{2A0B1197-2751-4B9A-9CE1-4527B0A4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73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3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39D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39D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39D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39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39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39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39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39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39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39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39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39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39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39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39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39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3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39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39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39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39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39D1"/>
    <w:rPr>
      <w:i/>
      <w:iCs/>
      <w:color w:val="404040" w:themeColor="text1" w:themeTint="BF"/>
    </w:rPr>
  </w:style>
  <w:style w:type="paragraph" w:styleId="Paragrafoelenco">
    <w:name w:val="List Paragraph"/>
    <w:basedOn w:val="Normale"/>
    <w:uiPriority w:val="34"/>
    <w:qFormat/>
    <w:rsid w:val="005739D1"/>
    <w:pPr>
      <w:ind w:left="720"/>
      <w:contextualSpacing/>
    </w:pPr>
  </w:style>
  <w:style w:type="character" w:styleId="Enfasiintensa">
    <w:name w:val="Intense Emphasis"/>
    <w:basedOn w:val="Carpredefinitoparagrafo"/>
    <w:uiPriority w:val="21"/>
    <w:qFormat/>
    <w:rsid w:val="005739D1"/>
    <w:rPr>
      <w:i/>
      <w:iCs/>
      <w:color w:val="0F4761" w:themeColor="accent1" w:themeShade="BF"/>
    </w:rPr>
  </w:style>
  <w:style w:type="paragraph" w:styleId="Citazioneintensa">
    <w:name w:val="Intense Quote"/>
    <w:basedOn w:val="Normale"/>
    <w:next w:val="Normale"/>
    <w:link w:val="CitazioneintensaCarattere"/>
    <w:uiPriority w:val="30"/>
    <w:qFormat/>
    <w:rsid w:val="00573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39D1"/>
    <w:rPr>
      <w:i/>
      <w:iCs/>
      <w:color w:val="0F4761" w:themeColor="accent1" w:themeShade="BF"/>
    </w:rPr>
  </w:style>
  <w:style w:type="character" w:styleId="Riferimentointenso">
    <w:name w:val="Intense Reference"/>
    <w:basedOn w:val="Carpredefinitoparagrafo"/>
    <w:uiPriority w:val="32"/>
    <w:qFormat/>
    <w:rsid w:val="005739D1"/>
    <w:rPr>
      <w:b/>
      <w:bCs/>
      <w:smallCaps/>
      <w:color w:val="0F4761" w:themeColor="accent1" w:themeShade="BF"/>
      <w:spacing w:val="5"/>
    </w:rPr>
  </w:style>
  <w:style w:type="table" w:styleId="Grigliatabella">
    <w:name w:val="Table Grid"/>
    <w:basedOn w:val="Tabellanormale"/>
    <w:uiPriority w:val="39"/>
    <w:rsid w:val="00E6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Rondalli</dc:creator>
  <cp:keywords/>
  <dc:description/>
  <cp:lastModifiedBy>Lucia Buizza</cp:lastModifiedBy>
  <cp:revision>2</cp:revision>
  <cp:lastPrinted>2024-11-21T08:21:00Z</cp:lastPrinted>
  <dcterms:created xsi:type="dcterms:W3CDTF">2024-12-02T10:29:00Z</dcterms:created>
  <dcterms:modified xsi:type="dcterms:W3CDTF">2024-12-02T10:29:00Z</dcterms:modified>
</cp:coreProperties>
</file>