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FAA31" w14:textId="77777777" w:rsidR="002F0012" w:rsidRDefault="002F0012"/>
    <w:p w14:paraId="7AE720E8" w14:textId="77777777" w:rsidR="00C6777A" w:rsidRPr="00C6777A" w:rsidRDefault="00C6777A" w:rsidP="00C6777A">
      <w:pPr>
        <w:jc w:val="both"/>
        <w:rPr>
          <w:b/>
          <w:bCs/>
          <w:color w:val="C00000"/>
        </w:rPr>
      </w:pPr>
      <w:r w:rsidRPr="00C6777A">
        <w:rPr>
          <w:b/>
          <w:bCs/>
          <w:color w:val="C00000"/>
        </w:rPr>
        <w:t>Nuove forme di convivenza e vicinato, luoghi che tengano vicine le generazioni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C6777A" w14:paraId="4ED38E4B" w14:textId="77777777" w:rsidTr="00E45E8C">
        <w:trPr>
          <w:trHeight w:val="1325"/>
        </w:trPr>
        <w:tc>
          <w:tcPr>
            <w:tcW w:w="2130" w:type="dxa"/>
          </w:tcPr>
          <w:p w14:paraId="6961EF1D" w14:textId="77777777" w:rsidR="00C6777A" w:rsidRPr="00D81A99" w:rsidRDefault="00C6777A" w:rsidP="00E45E8C">
            <w:pPr>
              <w:jc w:val="both"/>
              <w:rPr>
                <w:b/>
                <w:bCs/>
              </w:rPr>
            </w:pPr>
            <w:r w:rsidRPr="00D81A99">
              <w:rPr>
                <w:b/>
                <w:bCs/>
              </w:rPr>
              <w:t>TARGET</w:t>
            </w:r>
          </w:p>
        </w:tc>
        <w:tc>
          <w:tcPr>
            <w:tcW w:w="7498" w:type="dxa"/>
          </w:tcPr>
          <w:p w14:paraId="6D1F2CA2" w14:textId="77777777" w:rsidR="00C6777A" w:rsidRDefault="00C6777A" w:rsidP="00E45E8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Comunità nel tessuto disgregato</w:t>
            </w:r>
          </w:p>
          <w:p w14:paraId="600041C7" w14:textId="77777777" w:rsidR="00C6777A" w:rsidRDefault="00C6777A" w:rsidP="00E45E8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Persone fragili dal punto di vista socio-sanitario</w:t>
            </w:r>
          </w:p>
          <w:p w14:paraId="04E8641C" w14:textId="77777777" w:rsidR="00C6777A" w:rsidRDefault="00C6777A" w:rsidP="00E45E8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I vulnerabili e i vulnerati</w:t>
            </w:r>
          </w:p>
          <w:p w14:paraId="62554077" w14:textId="77777777" w:rsidR="00C6777A" w:rsidRDefault="00C6777A" w:rsidP="00E45E8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Persone sole</w:t>
            </w:r>
          </w:p>
          <w:p w14:paraId="7B96FB34" w14:textId="77777777" w:rsidR="00C6777A" w:rsidRDefault="00C6777A" w:rsidP="00E45E8C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Servizi del territorio</w:t>
            </w:r>
          </w:p>
          <w:p w14:paraId="6A300242" w14:textId="77777777" w:rsidR="00C6777A" w:rsidRDefault="00C6777A" w:rsidP="00E45E8C">
            <w:pPr>
              <w:jc w:val="both"/>
            </w:pPr>
          </w:p>
        </w:tc>
      </w:tr>
      <w:tr w:rsidR="00C6777A" w14:paraId="20FB4F4E" w14:textId="77777777" w:rsidTr="00E45E8C">
        <w:trPr>
          <w:trHeight w:val="1697"/>
        </w:trPr>
        <w:tc>
          <w:tcPr>
            <w:tcW w:w="2130" w:type="dxa"/>
          </w:tcPr>
          <w:p w14:paraId="2506B7CD" w14:textId="77777777" w:rsidR="00C6777A" w:rsidRPr="00D81A99" w:rsidRDefault="00C6777A" w:rsidP="00E45E8C">
            <w:pPr>
              <w:jc w:val="both"/>
              <w:rPr>
                <w:b/>
                <w:bCs/>
              </w:rPr>
            </w:pPr>
            <w:r w:rsidRPr="00D81A99">
              <w:rPr>
                <w:b/>
                <w:bCs/>
              </w:rPr>
              <w:t>OBIETTIVI</w:t>
            </w:r>
          </w:p>
        </w:tc>
        <w:tc>
          <w:tcPr>
            <w:tcW w:w="7498" w:type="dxa"/>
          </w:tcPr>
          <w:p w14:paraId="0DC6042C" w14:textId="77777777" w:rsidR="00C6777A" w:rsidRDefault="00C6777A" w:rsidP="00E45E8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Circuiti di vicinanza (collegati ai bisogni sociologici contestuali)</w:t>
            </w:r>
          </w:p>
          <w:p w14:paraId="009AD784" w14:textId="77777777" w:rsidR="00C6777A" w:rsidRDefault="00C6777A" w:rsidP="00E45E8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Creare contesti con doppia valenza: accoglienza e valorizzazione del bisogno</w:t>
            </w:r>
          </w:p>
          <w:p w14:paraId="4F4A9A06" w14:textId="77777777" w:rsidR="00C6777A" w:rsidRDefault="00C6777A" w:rsidP="00E45E8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Acquisizione di competenze relazionali esperienziali</w:t>
            </w:r>
          </w:p>
          <w:p w14:paraId="7C03C56C" w14:textId="77777777" w:rsidR="00C6777A" w:rsidRDefault="00C6777A" w:rsidP="00E45E8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“Contaminazione proattiva” dei servizi per valorizzare lo scambio di esperienze</w:t>
            </w:r>
          </w:p>
          <w:p w14:paraId="37B9C575" w14:textId="77777777" w:rsidR="00C6777A" w:rsidRDefault="00C6777A" w:rsidP="00E45E8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Prendersi cura delle relazioni con l’altro</w:t>
            </w:r>
          </w:p>
          <w:p w14:paraId="6CD8F1D8" w14:textId="77777777" w:rsidR="00C6777A" w:rsidRDefault="00C6777A" w:rsidP="00E45E8C">
            <w:pPr>
              <w:jc w:val="both"/>
            </w:pPr>
          </w:p>
          <w:p w14:paraId="59C2CB3A" w14:textId="77777777" w:rsidR="00C6777A" w:rsidRDefault="00C6777A" w:rsidP="00E45E8C">
            <w:pPr>
              <w:jc w:val="both"/>
            </w:pPr>
          </w:p>
        </w:tc>
      </w:tr>
      <w:tr w:rsidR="00C6777A" w14:paraId="0F4845C1" w14:textId="77777777" w:rsidTr="00E45E8C">
        <w:trPr>
          <w:trHeight w:val="2964"/>
        </w:trPr>
        <w:tc>
          <w:tcPr>
            <w:tcW w:w="2130" w:type="dxa"/>
          </w:tcPr>
          <w:p w14:paraId="641E3801" w14:textId="77777777" w:rsidR="00C6777A" w:rsidRPr="00D81A99" w:rsidRDefault="00C6777A" w:rsidP="00E45E8C">
            <w:pPr>
              <w:jc w:val="both"/>
              <w:rPr>
                <w:b/>
                <w:bCs/>
              </w:rPr>
            </w:pPr>
            <w:r w:rsidRPr="00D81A99">
              <w:rPr>
                <w:b/>
                <w:bCs/>
              </w:rPr>
              <w:t>AZIONI</w:t>
            </w:r>
          </w:p>
        </w:tc>
        <w:tc>
          <w:tcPr>
            <w:tcW w:w="7498" w:type="dxa"/>
          </w:tcPr>
          <w:p w14:paraId="765761F1" w14:textId="77777777" w:rsidR="00C6777A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Scambi transgenerazionali volti al prendersi cura</w:t>
            </w:r>
          </w:p>
          <w:p w14:paraId="115543C1" w14:textId="77777777" w:rsidR="00C6777A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Meccanismi premianti volti a riconoscere e a valorizzare le “azioni positive” (es, coinvolgendo le scuole, i comuni, ecc.)</w:t>
            </w:r>
          </w:p>
          <w:p w14:paraId="0F14F77E" w14:textId="77777777" w:rsidR="00C6777A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Costruire dal basso relazioni che portino ai servizi (es portineria sociale)</w:t>
            </w:r>
          </w:p>
          <w:p w14:paraId="32674EFA" w14:textId="77777777" w:rsidR="00C6777A" w:rsidRPr="00D81A99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Mettere a sistema la costruzione di reti di interscambio sociale e culturale. </w:t>
            </w:r>
          </w:p>
          <w:p w14:paraId="404D9B1F" w14:textId="77777777" w:rsidR="00C6777A" w:rsidRPr="00D81A99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81A99">
              <w:t xml:space="preserve">Stimolarsi tra servizi </w:t>
            </w:r>
            <w:r>
              <w:t xml:space="preserve">per conoscersi e collaborare con cadenze almeno semestrali </w:t>
            </w:r>
          </w:p>
          <w:p w14:paraId="7C44C6FB" w14:textId="77777777" w:rsidR="00C6777A" w:rsidRDefault="00C6777A" w:rsidP="00E45E8C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81A99">
              <w:t>Accompagnamento</w:t>
            </w:r>
            <w:r>
              <w:t xml:space="preserve"> creativo</w:t>
            </w:r>
          </w:p>
          <w:p w14:paraId="75927966" w14:textId="77777777" w:rsidR="00C6777A" w:rsidRPr="00D81A99" w:rsidRDefault="00C6777A" w:rsidP="00E45E8C">
            <w:pPr>
              <w:pStyle w:val="Paragrafoelenco"/>
              <w:spacing w:after="0" w:line="240" w:lineRule="auto"/>
              <w:ind w:left="360"/>
              <w:jc w:val="both"/>
            </w:pPr>
          </w:p>
        </w:tc>
      </w:tr>
      <w:tr w:rsidR="00C6777A" w14:paraId="178878F0" w14:textId="77777777" w:rsidTr="00E45E8C">
        <w:trPr>
          <w:trHeight w:val="2550"/>
        </w:trPr>
        <w:tc>
          <w:tcPr>
            <w:tcW w:w="2130" w:type="dxa"/>
          </w:tcPr>
          <w:p w14:paraId="62A8AECA" w14:textId="77777777" w:rsidR="00C6777A" w:rsidRPr="00D81A99" w:rsidRDefault="00C6777A" w:rsidP="00E45E8C">
            <w:pPr>
              <w:jc w:val="both"/>
              <w:rPr>
                <w:b/>
                <w:bCs/>
              </w:rPr>
            </w:pPr>
            <w:r w:rsidRPr="00D81A99">
              <w:rPr>
                <w:b/>
                <w:bCs/>
              </w:rPr>
              <w:t>LUOGHI</w:t>
            </w:r>
          </w:p>
        </w:tc>
        <w:tc>
          <w:tcPr>
            <w:tcW w:w="7498" w:type="dxa"/>
          </w:tcPr>
          <w:p w14:paraId="7C4665A1" w14:textId="77777777" w:rsidR="00C6777A" w:rsidRDefault="00C6777A" w:rsidP="00E45E8C">
            <w:pPr>
              <w:jc w:val="both"/>
            </w:pPr>
            <w:r>
              <w:t>PUA Punto Unico di Accesso,</w:t>
            </w:r>
          </w:p>
          <w:p w14:paraId="33B5C10F" w14:textId="77777777" w:rsidR="00C6777A" w:rsidRDefault="00C6777A" w:rsidP="00E45E8C">
            <w:pPr>
              <w:jc w:val="both"/>
            </w:pPr>
            <w:r>
              <w:t>Case di Comunità</w:t>
            </w:r>
          </w:p>
          <w:p w14:paraId="5EBC21C2" w14:textId="77777777" w:rsidR="00C6777A" w:rsidRDefault="00C6777A" w:rsidP="00E45E8C">
            <w:pPr>
              <w:jc w:val="both"/>
            </w:pPr>
            <w:r>
              <w:t>Servizi dedicati (es centro diurno)</w:t>
            </w:r>
          </w:p>
          <w:p w14:paraId="7267E9FD" w14:textId="77777777" w:rsidR="00C6777A" w:rsidRDefault="00C6777A" w:rsidP="00E45E8C">
            <w:pPr>
              <w:jc w:val="both"/>
            </w:pPr>
            <w:r>
              <w:t>Scuole</w:t>
            </w:r>
          </w:p>
        </w:tc>
      </w:tr>
    </w:tbl>
    <w:p w14:paraId="04E90811" w14:textId="77777777" w:rsidR="00C6777A" w:rsidRDefault="00C6777A"/>
    <w:sectPr w:rsidR="00C67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2B6"/>
    <w:multiLevelType w:val="hybridMultilevel"/>
    <w:tmpl w:val="5E4056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D0DA5"/>
    <w:multiLevelType w:val="hybridMultilevel"/>
    <w:tmpl w:val="50AE88C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57173"/>
    <w:multiLevelType w:val="hybridMultilevel"/>
    <w:tmpl w:val="25AE0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8763">
    <w:abstractNumId w:val="0"/>
  </w:num>
  <w:num w:numId="2" w16cid:durableId="460732646">
    <w:abstractNumId w:val="3"/>
  </w:num>
  <w:num w:numId="3" w16cid:durableId="1122186908">
    <w:abstractNumId w:val="1"/>
  </w:num>
  <w:num w:numId="4" w16cid:durableId="1664353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7A"/>
    <w:rsid w:val="00092343"/>
    <w:rsid w:val="000B01E8"/>
    <w:rsid w:val="002F0012"/>
    <w:rsid w:val="00351656"/>
    <w:rsid w:val="005766C3"/>
    <w:rsid w:val="007C7E43"/>
    <w:rsid w:val="0093508C"/>
    <w:rsid w:val="00A17300"/>
    <w:rsid w:val="00B64D92"/>
    <w:rsid w:val="00C6777A"/>
    <w:rsid w:val="00D33EFB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B88651"/>
  <w15:chartTrackingRefBased/>
  <w15:docId w15:val="{5A4C9CF4-E7E7-4A4A-BC87-0206010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77A"/>
    <w:pPr>
      <w:spacing w:after="160" w:line="278" w:lineRule="auto"/>
    </w:pPr>
    <w:rPr>
      <w:rFonts w:eastAsiaTheme="minorHAnsi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09234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17300"/>
    <w:pPr>
      <w:keepNext/>
      <w:keepLines/>
      <w:spacing w:before="40"/>
      <w:outlineLvl w:val="1"/>
    </w:pPr>
    <w:rPr>
      <w:rFonts w:eastAsiaTheme="majorEastAsia" w:cstheme="majorBidi"/>
      <w:b/>
      <w:i/>
      <w:color w:val="0F4761" w:themeColor="accent1" w:themeShade="BF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7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7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7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77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77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77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77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autoRedefine/>
    <w:uiPriority w:val="99"/>
    <w:unhideWhenUsed/>
    <w:qFormat/>
    <w:rsid w:val="005766C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66C3"/>
    <w:rPr>
      <w:rFonts w:ascii="Arial" w:hAnsi="Arial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92343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7300"/>
    <w:rPr>
      <w:rFonts w:eastAsiaTheme="majorEastAsia" w:cstheme="majorBidi"/>
      <w:b/>
      <w:i/>
      <w:color w:val="0F4761" w:themeColor="accent1" w:themeShade="BF"/>
      <w:kern w:val="0"/>
      <w:sz w:val="28"/>
      <w:szCs w:val="26"/>
      <w14:ligatures w14:val="none"/>
    </w:rPr>
  </w:style>
  <w:style w:type="paragraph" w:customStyle="1" w:styleId="StileCapi">
    <w:name w:val="Stile Capi"/>
    <w:autoRedefine/>
    <w:qFormat/>
    <w:rsid w:val="00092343"/>
    <w:pPr>
      <w:jc w:val="center"/>
    </w:pPr>
    <w:rPr>
      <w:rFonts w:eastAsiaTheme="majorEastAsia" w:cstheme="majorBidi"/>
      <w:b/>
      <w:bCs/>
      <w:color w:val="FF0000"/>
      <w:sz w:val="36"/>
      <w:szCs w:val="32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777A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777A"/>
    <w:rPr>
      <w:rFonts w:eastAsiaTheme="majorEastAsia" w:cstheme="majorBidi"/>
      <w:i/>
      <w:iCs/>
      <w:color w:val="0F4761" w:themeColor="accent1" w:themeShade="BF"/>
      <w:kern w:val="0"/>
      <w:sz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777A"/>
    <w:rPr>
      <w:rFonts w:eastAsiaTheme="majorEastAsia" w:cstheme="majorBidi"/>
      <w:color w:val="0F4761" w:themeColor="accent1" w:themeShade="BF"/>
      <w:kern w:val="0"/>
      <w:sz w:val="28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777A"/>
    <w:rPr>
      <w:rFonts w:eastAsiaTheme="majorEastAsia" w:cstheme="majorBidi"/>
      <w:i/>
      <w:iCs/>
      <w:color w:val="595959" w:themeColor="text1" w:themeTint="A6"/>
      <w:kern w:val="0"/>
      <w:sz w:val="28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777A"/>
    <w:rPr>
      <w:rFonts w:eastAsiaTheme="majorEastAsia" w:cstheme="majorBidi"/>
      <w:color w:val="595959" w:themeColor="text1" w:themeTint="A6"/>
      <w:kern w:val="0"/>
      <w:sz w:val="28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777A"/>
    <w:rPr>
      <w:rFonts w:eastAsiaTheme="majorEastAsia" w:cstheme="majorBidi"/>
      <w:i/>
      <w:iCs/>
      <w:color w:val="272727" w:themeColor="text1" w:themeTint="D8"/>
      <w:kern w:val="0"/>
      <w:sz w:val="2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777A"/>
    <w:rPr>
      <w:rFonts w:eastAsiaTheme="majorEastAsia" w:cstheme="majorBidi"/>
      <w:color w:val="272727" w:themeColor="text1" w:themeTint="D8"/>
      <w:kern w:val="0"/>
      <w:sz w:val="2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77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777A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7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777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777A"/>
    <w:rPr>
      <w:rFonts w:cs="Times New Roman"/>
      <w:i/>
      <w:iCs/>
      <w:color w:val="404040" w:themeColor="text1" w:themeTint="BF"/>
      <w:kern w:val="0"/>
      <w:sz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C677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77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777A"/>
    <w:rPr>
      <w:rFonts w:cs="Times New Roman"/>
      <w:i/>
      <w:iCs/>
      <w:color w:val="0F4761" w:themeColor="accent1" w:themeShade="BF"/>
      <w:kern w:val="0"/>
      <w:sz w:val="28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C677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6777A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Fezzi</dc:creator>
  <cp:keywords/>
  <dc:description/>
  <cp:lastModifiedBy>Elisabetta Fezzi</cp:lastModifiedBy>
  <cp:revision>1</cp:revision>
  <dcterms:created xsi:type="dcterms:W3CDTF">2024-11-20T17:09:00Z</dcterms:created>
  <dcterms:modified xsi:type="dcterms:W3CDTF">2024-11-20T17:10:00Z</dcterms:modified>
</cp:coreProperties>
</file>